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F1" w:rsidRDefault="00C840F1">
      <w:pPr>
        <w:pStyle w:val="Body"/>
        <w:rPr>
          <w:sz w:val="32"/>
          <w:szCs w:val="32"/>
        </w:rPr>
      </w:pPr>
    </w:p>
    <w:p w:rsidR="00C840F1" w:rsidRDefault="00C840F1">
      <w:pPr>
        <w:pStyle w:val="Body"/>
        <w:rPr>
          <w:sz w:val="32"/>
          <w:szCs w:val="32"/>
        </w:rPr>
      </w:pPr>
    </w:p>
    <w:p w:rsidR="00C840F1" w:rsidRDefault="00C840F1">
      <w:pPr>
        <w:pStyle w:val="Body"/>
        <w:rPr>
          <w:sz w:val="32"/>
          <w:szCs w:val="32"/>
        </w:rPr>
      </w:pPr>
    </w:p>
    <w:p w:rsidR="00C840F1" w:rsidRDefault="004F33AC">
      <w:pPr>
        <w:pStyle w:val="Body"/>
        <w:ind w:left="1530"/>
        <w:rPr>
          <w:sz w:val="32"/>
          <w:szCs w:val="32"/>
        </w:rPr>
      </w:pPr>
      <w:r>
        <w:rPr>
          <w:sz w:val="32"/>
          <w:szCs w:val="32"/>
        </w:rPr>
        <w:t xml:space="preserve">     Cluster Coordinator/Dean of the Faculty: __________________________________________</w:t>
      </w:r>
    </w:p>
    <w:p w:rsidR="00C840F1" w:rsidRDefault="00C840F1">
      <w:pPr>
        <w:pStyle w:val="Body"/>
        <w:ind w:left="1530"/>
        <w:rPr>
          <w:sz w:val="32"/>
          <w:szCs w:val="32"/>
        </w:rPr>
      </w:pPr>
    </w:p>
    <w:p w:rsidR="00C840F1" w:rsidRDefault="004F33AC">
      <w:pPr>
        <w:pStyle w:val="Body"/>
        <w:ind w:left="1530"/>
        <w:rPr>
          <w:sz w:val="32"/>
          <w:szCs w:val="32"/>
        </w:rPr>
      </w:pPr>
      <w:r>
        <w:rPr>
          <w:sz w:val="32"/>
          <w:szCs w:val="32"/>
        </w:rPr>
        <w:t xml:space="preserve">     Designation: ______________________________________________________________________</w:t>
      </w:r>
    </w:p>
    <w:p w:rsidR="00C840F1" w:rsidRDefault="00C840F1">
      <w:pPr>
        <w:pStyle w:val="Body"/>
        <w:ind w:left="1530"/>
        <w:rPr>
          <w:sz w:val="32"/>
          <w:szCs w:val="32"/>
        </w:rPr>
      </w:pPr>
    </w:p>
    <w:p w:rsidR="00C840F1" w:rsidRDefault="004F33AC">
      <w:pPr>
        <w:pStyle w:val="Body"/>
        <w:ind w:left="1530"/>
        <w:rPr>
          <w:sz w:val="32"/>
          <w:szCs w:val="32"/>
        </w:rPr>
      </w:pPr>
      <w:r>
        <w:rPr>
          <w:sz w:val="32"/>
          <w:szCs w:val="32"/>
        </w:rPr>
        <w:t xml:space="preserve">     List of Colleges/Departments/ </w:t>
      </w:r>
      <w:proofErr w:type="spellStart"/>
      <w:r>
        <w:rPr>
          <w:sz w:val="32"/>
          <w:szCs w:val="32"/>
        </w:rPr>
        <w:t>Centres</w:t>
      </w:r>
      <w:proofErr w:type="spellEnd"/>
      <w:r>
        <w:rPr>
          <w:sz w:val="32"/>
          <w:szCs w:val="32"/>
        </w:rPr>
        <w:t xml:space="preserve"> in the Cluster:</w:t>
      </w:r>
    </w:p>
    <w:p w:rsidR="00C840F1" w:rsidRDefault="00C840F1">
      <w:pPr>
        <w:pStyle w:val="Body"/>
        <w:ind w:left="1530"/>
        <w:rPr>
          <w:sz w:val="32"/>
          <w:szCs w:val="32"/>
        </w:rPr>
      </w:pPr>
    </w:p>
    <w:tbl>
      <w:tblPr>
        <w:tblW w:w="11646" w:type="dxa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823"/>
        <w:gridCol w:w="5823"/>
      </w:tblGrid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  <w:tr w:rsidR="00C840F1">
        <w:trPr>
          <w:trHeight w:val="39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/>
        </w:tc>
      </w:tr>
    </w:tbl>
    <w:p w:rsidR="00C840F1" w:rsidRDefault="00C840F1">
      <w:pPr>
        <w:pStyle w:val="Body"/>
        <w:widowControl w:val="0"/>
        <w:ind w:left="15" w:hanging="15"/>
        <w:rPr>
          <w:sz w:val="32"/>
          <w:szCs w:val="32"/>
        </w:rPr>
      </w:pPr>
    </w:p>
    <w:p w:rsidR="00C840F1" w:rsidRDefault="00C840F1">
      <w:pPr>
        <w:pStyle w:val="Body"/>
        <w:rPr>
          <w:sz w:val="32"/>
          <w:szCs w:val="32"/>
        </w:rPr>
      </w:pPr>
    </w:p>
    <w:p w:rsidR="00C840F1" w:rsidRDefault="00C840F1">
      <w:pPr>
        <w:pStyle w:val="Body"/>
        <w:ind w:left="1530"/>
        <w:rPr>
          <w:sz w:val="32"/>
          <w:szCs w:val="32"/>
        </w:rPr>
      </w:pPr>
    </w:p>
    <w:p w:rsidR="00C840F1" w:rsidRDefault="004F33AC">
      <w:pPr>
        <w:pStyle w:val="Body"/>
        <w:ind w:left="1530"/>
        <w:rPr>
          <w:sz w:val="32"/>
          <w:szCs w:val="32"/>
        </w:rPr>
      </w:pPr>
      <w:r>
        <w:rPr>
          <w:sz w:val="32"/>
          <w:szCs w:val="32"/>
        </w:rPr>
        <w:t xml:space="preserve">     Date of the meeting: ________________________________________________________</w:t>
      </w:r>
    </w:p>
    <w:p w:rsidR="00C840F1" w:rsidRDefault="00C840F1">
      <w:pPr>
        <w:pStyle w:val="Body"/>
        <w:rPr>
          <w:sz w:val="32"/>
          <w:szCs w:val="32"/>
        </w:rPr>
      </w:pP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Dear Colleagues</w:t>
      </w:r>
    </w:p>
    <w:p w:rsidR="00C840F1" w:rsidRDefault="00C840F1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As you deliberate and discuss on the proposed concept of Higher Education Commission of India as envisioned by NEP 2020, below are some </w:t>
      </w:r>
      <w:r>
        <w:rPr>
          <w:rFonts w:ascii="Times New Roman" w:hAnsi="Times New Roman"/>
        </w:rPr>
        <w:t>suggested guidelines that may help you to keep discussion focused and organized:</w:t>
      </w:r>
    </w:p>
    <w:p w:rsidR="00C840F1" w:rsidRDefault="00C840F1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1)The</w:t>
      </w:r>
      <w:proofErr w:type="gramEnd"/>
      <w:r>
        <w:rPr>
          <w:rFonts w:ascii="Times New Roman" w:hAnsi="Times New Roman"/>
        </w:rPr>
        <w:t xml:space="preserve"> discussion shall be focused with reference to NEP 2020 (section 18 and 19). The soft copy of the policy document is attached with the email.</w:t>
      </w: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2) It is advised to refer t</w:t>
      </w:r>
      <w:r>
        <w:rPr>
          <w:rFonts w:ascii="Times New Roman" w:hAnsi="Times New Roman"/>
        </w:rPr>
        <w:t>o the Concept Note given with the mail, for more clarity.</w:t>
      </w: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3) The next pages of the present document consist of a table with suggestive heads in five sections A, B, C, D, E and the last section F for any other suggestion.</w:t>
      </w: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4) Cluster coordinators/Dean of </w:t>
      </w:r>
      <w:r>
        <w:rPr>
          <w:rFonts w:ascii="Times New Roman" w:hAnsi="Times New Roman"/>
        </w:rPr>
        <w:t>faculties shall provide implications/concerns/suggestions under the suggestive heads for each section.</w:t>
      </w:r>
    </w:p>
    <w:p w:rsidR="00C840F1" w:rsidRDefault="004F33AC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5) Suggestions can be supported by examples or by any reference of any exemplary practice.</w:t>
      </w:r>
    </w:p>
    <w:p w:rsidR="00365C2B" w:rsidRDefault="004F33AC">
      <w:pPr>
        <w:pStyle w:val="Bod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Observations and suggestions shall be precise.</w:t>
      </w:r>
    </w:p>
    <w:p w:rsidR="00365C2B" w:rsidRDefault="00365C2B">
      <w:pPr>
        <w:rPr>
          <w:rFonts w:cs="Arial Unicode MS"/>
          <w:color w:val="000000"/>
          <w:u w:color="000000"/>
          <w:shd w:val="nil"/>
          <w:lang w:bidi="hi-IN"/>
        </w:rPr>
      </w:pPr>
      <w:r>
        <w:br w:type="page"/>
      </w:r>
    </w:p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840F1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Pr="00365C2B" w:rsidRDefault="004F33AC">
            <w:pPr>
              <w:pStyle w:val="Body"/>
              <w:rPr>
                <w:color w:val="000000" w:themeColor="text1"/>
              </w:rPr>
            </w:pPr>
            <w:r w:rsidRPr="00365C2B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  <w:shd w:val="clear" w:color="auto" w:fill="auto"/>
              </w:rPr>
              <w:lastRenderedPageBreak/>
              <w:t>Section A:  Higher Education Commission of India (HECI)</w:t>
            </w:r>
            <w:r w:rsidRPr="00365C2B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  <w:shd w:val="clear" w:color="auto" w:fill="auto"/>
              </w:rPr>
              <w:t xml:space="preserve"> </w:t>
            </w:r>
          </w:p>
        </w:tc>
      </w:tr>
      <w:tr w:rsidR="00434785" w:rsidTr="00434785">
        <w:trPr>
          <w:trHeight w:val="60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9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434785" w:rsidTr="00CA34AE">
        <w:trPr>
          <w:trHeight w:val="35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rPr>
                <w:sz w:val="32"/>
                <w:szCs w:val="32"/>
              </w:rPr>
            </w:pPr>
          </w:p>
          <w:p w:rsidR="00434785" w:rsidRDefault="00434785" w:rsidP="00BF240B">
            <w:pPr>
              <w:pStyle w:val="Body"/>
            </w:pPr>
            <w:r>
              <w:rPr>
                <w:sz w:val="32"/>
                <w:szCs w:val="32"/>
              </w:rPr>
              <w:t>A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  <w:widowControl w:val="0"/>
              <w:spacing w:after="240"/>
              <w:jc w:val="both"/>
            </w:pPr>
            <w:r>
              <w:rPr>
                <w:rFonts w:ascii="Times New Roman" w:hAnsi="Times New Roman"/>
              </w:rPr>
              <w:t xml:space="preserve">Autonomous umbrella body responsible for monitoring the regulation, accreditation, funding, and academic standards of </w:t>
            </w:r>
            <w:r>
              <w:t>all Higher Education Institute (HEIs)</w:t>
            </w:r>
            <w:r>
              <w:rPr>
                <w:rFonts w:ascii="Times New Roman" w:hAnsi="Times New Roman"/>
              </w:rPr>
              <w:t xml:space="preserve"> through four independent verticals (</w:t>
            </w:r>
            <w:r>
              <w:rPr>
                <w:rFonts w:ascii="Times New Roman" w:hAnsi="Times New Roman"/>
                <w:i/>
                <w:iCs/>
              </w:rPr>
              <w:t>role and scope of four verticals are mentioned in Section B,C,D and E)</w:t>
            </w:r>
          </w:p>
        </w:tc>
        <w:tc>
          <w:tcPr>
            <w:tcW w:w="2578" w:type="dxa"/>
            <w:tcBorders>
              <w:top w:val="single" w:sz="4" w:space="0" w:color="00009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</w:pPr>
            <w:r>
              <w:t>The relationship between HECI and public funded Central  Universities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Body"/>
            </w:pPr>
            <w:r>
              <w:t>To address the requirements of the vast number of students in Central Universities in India</w:t>
            </w:r>
          </w:p>
          <w:p w:rsidR="00434785" w:rsidRDefault="00434785" w:rsidP="00BF240B">
            <w:pPr>
              <w:pStyle w:val="Body"/>
            </w:pPr>
            <w:r>
              <w:t>DU has a legacy and specie character as a HEI and this uniqueness may be affected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BF240B">
            <w:pPr>
              <w:pStyle w:val="ListParagraph"/>
              <w:numPr>
                <w:ilvl w:val="0"/>
                <w:numId w:val="1"/>
              </w:numPr>
            </w:pPr>
            <w:r>
              <w:t>To spell out the manner in which it will be different from the existing structure</w:t>
            </w:r>
          </w:p>
          <w:p w:rsidR="00434785" w:rsidRDefault="00434785" w:rsidP="00BF240B">
            <w:pPr>
              <w:pStyle w:val="ListParagraph"/>
              <w:numPr>
                <w:ilvl w:val="0"/>
                <w:numId w:val="1"/>
              </w:numPr>
            </w:pPr>
            <w:r>
              <w:t xml:space="preserve">To establish coordination between verticals as and when required even as they continue to maintain independent functioning </w:t>
            </w:r>
          </w:p>
          <w:p w:rsidR="00434785" w:rsidRDefault="00434785" w:rsidP="00BF240B">
            <w:pPr>
              <w:pStyle w:val="ListParagraph"/>
              <w:numPr>
                <w:ilvl w:val="0"/>
                <w:numId w:val="1"/>
              </w:numPr>
            </w:pPr>
            <w:r>
              <w:t>To address the question of viability a pilot study with a limited number of colleges may be initiated.</w:t>
            </w:r>
          </w:p>
        </w:tc>
      </w:tr>
      <w:tr w:rsidR="00434785" w:rsidTr="00CA34AE">
        <w:trPr>
          <w:trHeight w:val="18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</w:pPr>
            <w:r>
              <w:rPr>
                <w:sz w:val="32"/>
                <w:szCs w:val="32"/>
              </w:rPr>
              <w:t>A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  <w:widowControl w:val="0"/>
              <w:spacing w:after="240"/>
              <w:jc w:val="both"/>
            </w:pPr>
            <w:r>
              <w:rPr>
                <w:rFonts w:ascii="Times New Roman" w:hAnsi="Times New Roman"/>
              </w:rPr>
              <w:t>Resolving disputes among the four verticals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</w:pPr>
            <w:r>
              <w:t xml:space="preserve">To identify the nature of dispute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 w:rsidP="00434785">
            <w:pPr>
              <w:pStyle w:val="Body"/>
              <w:numPr>
                <w:ilvl w:val="0"/>
                <w:numId w:val="21"/>
              </w:numPr>
            </w:pPr>
            <w:r>
              <w:t xml:space="preserve">To create an adjudicating authority to address the various kinds of disputes. </w:t>
            </w:r>
          </w:p>
          <w:p w:rsidR="00434785" w:rsidRDefault="00434785" w:rsidP="00434785">
            <w:pPr>
              <w:pStyle w:val="Body"/>
              <w:numPr>
                <w:ilvl w:val="0"/>
                <w:numId w:val="21"/>
              </w:numPr>
            </w:pPr>
            <w:r>
              <w:t xml:space="preserve">To create different heads for classifying and addressing disputes—Financial/ Academic etc. </w:t>
            </w:r>
          </w:p>
        </w:tc>
      </w:tr>
      <w:tr w:rsidR="00434785" w:rsidTr="00CA34AE">
        <w:trPr>
          <w:trHeight w:val="92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</w:pPr>
            <w:r>
              <w:rPr>
                <w:sz w:val="32"/>
                <w:szCs w:val="32"/>
              </w:rPr>
              <w:t>A 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Monitoring and adjudication for strict compliance of basic minimum norms and standards as applicable to HEIs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</w:pPr>
            <w:r>
              <w:t>To keep in mind the varied nature of HEIs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434785">
            <w:pPr>
              <w:pStyle w:val="Body"/>
            </w:pPr>
            <w:r>
              <w:t>To define minimum norms and evolve a general plan to scale up the quality of HEIs</w:t>
            </w:r>
          </w:p>
        </w:tc>
      </w:tr>
    </w:tbl>
    <w:p w:rsidR="00365C2B" w:rsidRDefault="00365C2B"/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840F1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Pr="00365C2B" w:rsidRDefault="004F33AC">
            <w:pPr>
              <w:pStyle w:val="Body"/>
              <w:rPr>
                <w:color w:val="000000" w:themeColor="text1"/>
              </w:rPr>
            </w:pPr>
            <w:r w:rsidRPr="00365C2B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>Section B:  Vertical I  National Higher Education Regulatory Commission (NHERC)</w:t>
            </w:r>
          </w:p>
        </w:tc>
      </w:tr>
      <w:tr w:rsidR="00CA34AE" w:rsidTr="00CA34AE">
        <w:trPr>
          <w:trHeight w:val="3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189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</w:pPr>
            <w:r>
              <w:rPr>
                <w:sz w:val="32"/>
                <w:szCs w:val="32"/>
              </w:rPr>
              <w:t>B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t>Single regulator for entire higher education sector except medical and legal education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</w:pPr>
            <w:r>
              <w:t>The concerns of Medical and Law Colleges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</w:pPr>
            <w:r>
              <w:t>To evolve minimum standards for all HEI to adhere to them.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numPr>
                <w:ilvl w:val="0"/>
                <w:numId w:val="2"/>
              </w:numPr>
            </w:pPr>
            <w:r>
              <w:t>There needs to be wider consultation. There must be further sub-divisions to evolve a broad but specific understanding of the shaping of Higher Education</w:t>
            </w:r>
          </w:p>
        </w:tc>
      </w:tr>
      <w:tr w:rsidR="00CA34AE" w:rsidTr="00CA34AE">
        <w:trPr>
          <w:trHeight w:val="3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rPr>
                <w:sz w:val="32"/>
                <w:szCs w:val="32"/>
              </w:rPr>
            </w:pPr>
          </w:p>
          <w:p w:rsidR="00CA34AE" w:rsidRDefault="00CA34AE">
            <w:pPr>
              <w:pStyle w:val="Body"/>
            </w:pPr>
            <w:r>
              <w:rPr>
                <w:sz w:val="32"/>
                <w:szCs w:val="32"/>
              </w:rPr>
              <w:t>B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Online and offline public self-disclosure of finances, audits, infrastructure, faculty &amp; staff and educational outcomes by all HEIs on the website managed and reviewed by NHERC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</w:pPr>
            <w:r>
              <w:t>A completely online system of maintaining the intellectual and financial well-being of HEIs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ListParagraph"/>
              <w:numPr>
                <w:ilvl w:val="0"/>
                <w:numId w:val="3"/>
              </w:numPr>
            </w:pPr>
            <w:r>
              <w:t>To extend internet band width to accommodate greater information</w:t>
            </w:r>
          </w:p>
          <w:p w:rsidR="00CA34AE" w:rsidRDefault="00CA34AE">
            <w:pPr>
              <w:pStyle w:val="ListParagraph"/>
              <w:numPr>
                <w:ilvl w:val="0"/>
                <w:numId w:val="3"/>
              </w:numPr>
            </w:pPr>
            <w:r>
              <w:t>Currently the information is being shared on multiple platforms such as NAAC, NIRF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365C2B">
            <w:pPr>
              <w:pStyle w:val="ListParagraph"/>
              <w:numPr>
                <w:ilvl w:val="0"/>
                <w:numId w:val="19"/>
              </w:numPr>
            </w:pPr>
            <w:r>
              <w:t xml:space="preserve">To evolve broad parameters to be adhered to by all HEIs at the academic level as well as for financial self-disclosure </w:t>
            </w:r>
          </w:p>
          <w:p w:rsidR="00CA34AE" w:rsidRDefault="00CA34AE" w:rsidP="00365C2B">
            <w:pPr>
              <w:pStyle w:val="ListParagraph"/>
              <w:numPr>
                <w:ilvl w:val="0"/>
                <w:numId w:val="19"/>
              </w:numPr>
            </w:pPr>
            <w:r w:rsidRPr="00365C2B">
              <w:t>To simplify the process. Multiple uploads to be streamlined into one channel for greater transparency, annually</w:t>
            </w:r>
          </w:p>
        </w:tc>
      </w:tr>
      <w:tr w:rsidR="00C840F1" w:rsidTr="00CA34AE">
        <w:trPr>
          <w:trHeight w:val="49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>
            <w:pPr>
              <w:pStyle w:val="Body"/>
              <w:rPr>
                <w:sz w:val="32"/>
                <w:szCs w:val="32"/>
              </w:rPr>
            </w:pPr>
          </w:p>
          <w:p w:rsidR="00C840F1" w:rsidRDefault="004F33AC">
            <w:pPr>
              <w:pStyle w:val="Body"/>
            </w:pPr>
            <w:r>
              <w:rPr>
                <w:sz w:val="32"/>
                <w:szCs w:val="32"/>
              </w:rPr>
              <w:t>B 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40F1" w:rsidRDefault="004F33AC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Feedback from students managed and monitored by NHERC</w:t>
            </w:r>
          </w:p>
          <w:p w:rsidR="00C840F1" w:rsidRDefault="00C840F1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40F1" w:rsidRDefault="00C840F1">
            <w:pPr>
              <w:pStyle w:val="Body"/>
              <w:jc w:val="both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4F33AC">
            <w:pPr>
              <w:pStyle w:val="Body"/>
            </w:pPr>
            <w:r>
              <w:t>To consider student feedback routed via an ethical system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4F33AC">
            <w:pPr>
              <w:pStyle w:val="ListParagraph"/>
              <w:numPr>
                <w:ilvl w:val="0"/>
                <w:numId w:val="6"/>
              </w:numPr>
            </w:pPr>
            <w:r>
              <w:t>Legality and Ethics</w:t>
            </w:r>
          </w:p>
          <w:p w:rsidR="00C840F1" w:rsidRDefault="004F33AC">
            <w:pPr>
              <w:pStyle w:val="ListParagraph"/>
              <w:numPr>
                <w:ilvl w:val="0"/>
                <w:numId w:val="6"/>
              </w:numPr>
            </w:pPr>
            <w:r>
              <w:t>Multiple surveys, fatigue level, low response rate</w:t>
            </w:r>
          </w:p>
          <w:p w:rsidR="00C840F1" w:rsidRDefault="004F33AC">
            <w:pPr>
              <w:pStyle w:val="ListParagraph"/>
              <w:numPr>
                <w:ilvl w:val="0"/>
                <w:numId w:val="6"/>
              </w:numPr>
            </w:pPr>
            <w:r>
              <w:t>Doctored feedback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>
              <w:t>Student Feedback Form should be uniform to maintain parity</w:t>
            </w:r>
          </w:p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>The form should not be teacher specific</w:t>
            </w:r>
          </w:p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>To elaborate the mechanism of the complaint system</w:t>
            </w:r>
          </w:p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>Student’s attendance</w:t>
            </w:r>
          </w:p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 xml:space="preserve">The HEI should be allowed the chance to address/ </w:t>
            </w:r>
            <w:proofErr w:type="spellStart"/>
            <w:r w:rsidRPr="00CA34AE">
              <w:t>redressal</w:t>
            </w:r>
            <w:proofErr w:type="spellEnd"/>
          </w:p>
          <w:p w:rsidR="00CA34AE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>Result analysis of feedbac</w:t>
            </w:r>
            <w:r w:rsidRPr="00CA34AE">
              <w:t>k to be handled by the college through</w:t>
            </w:r>
          </w:p>
          <w:p w:rsidR="00C840F1" w:rsidRDefault="004F33AC" w:rsidP="00CA34AE">
            <w:pPr>
              <w:pStyle w:val="ListParagraph"/>
              <w:numPr>
                <w:ilvl w:val="0"/>
                <w:numId w:val="20"/>
              </w:numPr>
            </w:pPr>
            <w:r w:rsidRPr="00CA34AE">
              <w:t xml:space="preserve">Feedback review and </w:t>
            </w:r>
            <w:proofErr w:type="spellStart"/>
            <w:r w:rsidRPr="00CA34AE">
              <w:t>Counselling</w:t>
            </w:r>
            <w:proofErr w:type="spellEnd"/>
            <w:r w:rsidRPr="00CA34AE">
              <w:t xml:space="preserve"> sessions</w:t>
            </w:r>
          </w:p>
        </w:tc>
      </w:tr>
      <w:tr w:rsidR="00C840F1" w:rsidTr="00365C2B">
        <w:trPr>
          <w:trHeight w:val="225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>
            <w:pPr>
              <w:pStyle w:val="Body"/>
              <w:rPr>
                <w:sz w:val="32"/>
                <w:szCs w:val="32"/>
              </w:rPr>
            </w:pPr>
          </w:p>
          <w:p w:rsidR="00C840F1" w:rsidRDefault="004F33AC">
            <w:pPr>
              <w:pStyle w:val="Body"/>
            </w:pPr>
            <w:r>
              <w:rPr>
                <w:sz w:val="32"/>
                <w:szCs w:val="32"/>
              </w:rPr>
              <w:t>B 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C840F1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40F1" w:rsidRDefault="004F33AC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Adjudication on the issues related to grievances of stakeholders based on the information provided by HEIs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4F33AC">
            <w:pPr>
              <w:pStyle w:val="Body"/>
            </w:pPr>
            <w:r>
              <w:t>A robust grievance system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4F33AC">
            <w:pPr>
              <w:pStyle w:val="Body"/>
            </w:pPr>
            <w:r>
              <w:t>Legality and ethics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Default="004F33AC">
            <w:pPr>
              <w:pStyle w:val="Body"/>
            </w:pPr>
            <w:r>
              <w:t xml:space="preserve">A grievance </w:t>
            </w:r>
            <w:r>
              <w:t xml:space="preserve">system that covers all levels ranging from the academic to the administrative in a transparent manner. </w:t>
            </w:r>
          </w:p>
          <w:p w:rsidR="00C840F1" w:rsidRDefault="004F33AC">
            <w:pPr>
              <w:pStyle w:val="Body"/>
            </w:pPr>
            <w:r>
              <w:t>Periodic review of the Grievance System</w:t>
            </w:r>
          </w:p>
        </w:tc>
      </w:tr>
    </w:tbl>
    <w:p w:rsidR="00CA34AE" w:rsidRDefault="00CA34AE" w:rsidP="00CA34AE">
      <w:pPr>
        <w:pBdr>
          <w:top w:val="nil"/>
        </w:pBdr>
      </w:pPr>
    </w:p>
    <w:p w:rsidR="00CA34AE" w:rsidRDefault="00CA34AE">
      <w:r>
        <w:br w:type="page"/>
      </w:r>
    </w:p>
    <w:p w:rsidR="00CA34AE" w:rsidRDefault="00CA34AE"/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840F1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0F1" w:rsidRPr="00CA34AE" w:rsidRDefault="004F33AC">
            <w:pPr>
              <w:pStyle w:val="Body"/>
              <w:jc w:val="both"/>
              <w:rPr>
                <w:color w:val="000000" w:themeColor="text1"/>
              </w:rPr>
            </w:pPr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>Section C: Vertical II  National Accreditation Council (NAC)</w:t>
            </w:r>
          </w:p>
        </w:tc>
      </w:tr>
      <w:tr w:rsidR="00CA34AE" w:rsidTr="00CA34AE">
        <w:trPr>
          <w:trHeight w:val="57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189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C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 w:rsidP="00BF240B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Meta accreditation body in supervisory and oversee role </w:t>
            </w:r>
          </w:p>
          <w:p w:rsidR="00CA34AE" w:rsidRDefault="00CA34AE" w:rsidP="00BF240B">
            <w:pPr>
              <w:pStyle w:val="Body"/>
              <w:jc w:val="both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numPr>
                <w:ilvl w:val="0"/>
                <w:numId w:val="9"/>
              </w:numPr>
            </w:pPr>
            <w:r>
              <w:t>NAC guidelines to   evolve newer yardsticks to facilitate better quality education in HEIs</w:t>
            </w:r>
          </w:p>
          <w:p w:rsidR="00CA34AE" w:rsidRDefault="00CA34AE" w:rsidP="00BF240B">
            <w:pPr>
              <w:pStyle w:val="Body"/>
              <w:numPr>
                <w:ilvl w:val="0"/>
                <w:numId w:val="9"/>
              </w:numPr>
            </w:pPr>
            <w:r>
              <w:t>Dedicated team with physical interface to address all queries of HEIs</w:t>
            </w:r>
          </w:p>
          <w:p w:rsidR="00CA34AE" w:rsidRDefault="00CA34AE" w:rsidP="00BF240B">
            <w:pPr>
              <w:pStyle w:val="Body"/>
            </w:pPr>
          </w:p>
        </w:tc>
      </w:tr>
      <w:tr w:rsidR="00CA34AE" w:rsidTr="00CA34AE">
        <w:trPr>
          <w:trHeight w:val="19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C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Accreditation based on basic norms, public self disclosure, good governance, Institute Development Plan (IDP) and outcomes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785" w:rsidRDefault="00CA34AE">
            <w:pPr>
              <w:pStyle w:val="Body"/>
            </w:pPr>
            <w:r>
              <w:t>This system is already in place. To be able to improve and build on the existing system.</w:t>
            </w:r>
          </w:p>
          <w:p w:rsidR="00434785" w:rsidRDefault="00434785">
            <w:pPr>
              <w:pStyle w:val="Body"/>
            </w:pPr>
          </w:p>
          <w:p w:rsidR="00CA34AE" w:rsidRDefault="00434785">
            <w:pPr>
              <w:pStyle w:val="Body"/>
            </w:pPr>
            <w:r>
              <w:t xml:space="preserve"> </w:t>
            </w:r>
            <w:r w:rsidR="00CA34AE">
              <w:t>The score s</w:t>
            </w:r>
            <w:r>
              <w:t xml:space="preserve">hould be multi-dimensional and </w:t>
            </w:r>
            <w:r w:rsidR="00CA34AE">
              <w:t>qualitative. It should not be quantitative</w:t>
            </w:r>
          </w:p>
        </w:tc>
      </w:tr>
      <w:tr w:rsidR="00CA34AE" w:rsidTr="00CA34AE">
        <w:trPr>
          <w:trHeight w:val="335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C 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Suitable system of graded accreditation and graded autonomy to HEIs in a phased manner over a period of 15 years to become self governing degree awarded institutes/clusters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roofErr w:type="spellStart"/>
            <w:r>
              <w:rPr>
                <w:rFonts w:ascii="Cambria" w:hAnsi="Cambria" w:cs="Arial Unicode MS"/>
                <w:color w:val="000000"/>
                <w:u w:color="000000"/>
                <w:shd w:val="nil"/>
              </w:rPr>
              <w:t>Commercialisation</w:t>
            </w:r>
            <w:proofErr w:type="spellEnd"/>
            <w:r>
              <w:rPr>
                <w:rFonts w:ascii="Cambria" w:hAnsi="Cambria" w:cs="Arial Unicode MS"/>
                <w:color w:val="000000"/>
                <w:u w:color="000000"/>
                <w:shd w:val="nil"/>
              </w:rPr>
              <w:t xml:space="preserve"> of education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</w:pPr>
            <w:r>
              <w:t>Will there be different levels of colleges in a Central University?</w:t>
            </w:r>
          </w:p>
          <w:p w:rsidR="00CA34AE" w:rsidRDefault="00CA34AE">
            <w:pPr>
              <w:pStyle w:val="Body"/>
            </w:pPr>
          </w:p>
          <w:p w:rsidR="00CA34AE" w:rsidRDefault="00CA34AE">
            <w:r>
              <w:rPr>
                <w:rFonts w:ascii="Cambria" w:hAnsi="Cambria" w:cs="Arial Unicode MS"/>
                <w:color w:val="000000"/>
                <w:u w:color="000000"/>
                <w:shd w:val="nil"/>
              </w:rPr>
              <w:t xml:space="preserve">The federal structure of DU has benefitted all the colleges and this is likely to be affected.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</w:pPr>
            <w:r>
              <w:t>The present robust structure and legacy of DU should be maintained.</w:t>
            </w:r>
          </w:p>
          <w:p w:rsidR="00CA34AE" w:rsidRDefault="00CA34AE">
            <w:pPr>
              <w:pStyle w:val="Body"/>
            </w:pPr>
          </w:p>
          <w:p w:rsidR="00CA34AE" w:rsidRDefault="00CA34AE">
            <w:pPr>
              <w:pStyle w:val="Body"/>
            </w:pPr>
            <w:r>
              <w:t xml:space="preserve"> This aspect of the policy be applied to new institutions coming in the future</w:t>
            </w:r>
          </w:p>
          <w:p w:rsidR="00CA34AE" w:rsidRDefault="00CA34AE">
            <w:pPr>
              <w:pStyle w:val="Body"/>
            </w:pPr>
          </w:p>
          <w:p w:rsidR="00CA34AE" w:rsidRDefault="00CA34AE">
            <w:pPr>
              <w:pStyle w:val="Body"/>
            </w:pPr>
            <w:r>
              <w:t>To facilitate colleges through revised structure, mentorship and guidance to improve the quality of HEIs</w:t>
            </w:r>
          </w:p>
        </w:tc>
      </w:tr>
    </w:tbl>
    <w:p w:rsidR="00CA34AE" w:rsidRDefault="00CA34AE"/>
    <w:p w:rsidR="00CA34AE" w:rsidRDefault="00CA34AE">
      <w:r>
        <w:br w:type="page"/>
      </w:r>
    </w:p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A34AE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Pr="00CA34AE" w:rsidRDefault="00CA34AE">
            <w:pPr>
              <w:pStyle w:val="Body"/>
              <w:rPr>
                <w:color w:val="000000" w:themeColor="text1"/>
              </w:rPr>
            </w:pPr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lastRenderedPageBreak/>
              <w:t>Section D: Vertical III   Higher Education Grant Council (HEGC)</w:t>
            </w:r>
          </w:p>
        </w:tc>
      </w:tr>
      <w:tr w:rsidR="00CA34AE" w:rsidTr="00CA34AE">
        <w:trPr>
          <w:trHeight w:val="57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414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D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Granting funding and financing HEIs based on strategic Institutional Development Plan (IDP) and its implementation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Varied requirements by the colleges and there contexts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IDPs will depend on the grants and parity of fund distribution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ensure unconditional basic level of funding for regular functioning of the HEIs (salary and other than salary expenses including maintenance)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evaluate the viability of the IDP prior to implementation followed by a discussion of the IDP with HEGC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assess the impact of this revised formula on student fee</w:t>
            </w:r>
          </w:p>
        </w:tc>
      </w:tr>
      <w:tr w:rsidR="00CA34AE" w:rsidTr="00CA34AE">
        <w:trPr>
          <w:trHeight w:val="3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lastRenderedPageBreak/>
              <w:t>D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Disbursement of scholarships and development funds for launching new focus areas and quality programs across disciplines and fields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Students from underprivileged backgrounds may get excluded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Balance between academic and vocational education</w:t>
            </w: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2. Concerns of students from underprivileged background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More skill based courses along with scholarships and tie-up with industry to ensure access to Higher Education and greater employability.  </w:t>
            </w:r>
          </w:p>
          <w:p w:rsidR="00434785" w:rsidRDefault="00CA34AE" w:rsidP="00434785">
            <w:pPr>
              <w:pStyle w:val="Body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34785">
              <w:rPr>
                <w:rFonts w:ascii="Times New Roman" w:hAnsi="Times New Roman"/>
              </w:rPr>
              <w:t>Students from underprivileged backgrounds to be covered</w:t>
            </w:r>
          </w:p>
          <w:p w:rsidR="00CA34AE" w:rsidRPr="00434785" w:rsidRDefault="00CA34AE" w:rsidP="00434785">
            <w:pPr>
              <w:pStyle w:val="Body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34785">
              <w:rPr>
                <w:rFonts w:ascii="Times New Roman" w:hAnsi="Times New Roman"/>
              </w:rPr>
              <w:t>Academia-industry interface to facilitate courses required by the industry</w:t>
            </w:r>
          </w:p>
        </w:tc>
      </w:tr>
    </w:tbl>
    <w:p w:rsidR="00CA34AE" w:rsidRDefault="00CA34AE"/>
    <w:p w:rsidR="00CA34AE" w:rsidRDefault="00CA34AE">
      <w:r>
        <w:br w:type="page"/>
      </w:r>
    </w:p>
    <w:p w:rsidR="00CA34AE" w:rsidRDefault="00CA34AE"/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A34AE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Pr="00CA34AE" w:rsidRDefault="00CA34AE">
            <w:pPr>
              <w:pStyle w:val="Body"/>
              <w:jc w:val="both"/>
              <w:rPr>
                <w:color w:val="000000" w:themeColor="text1"/>
              </w:rPr>
            </w:pPr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 xml:space="preserve">Section E: Vertical </w:t>
            </w:r>
            <w:proofErr w:type="spellStart"/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>IVGeneral</w:t>
            </w:r>
            <w:proofErr w:type="spellEnd"/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 xml:space="preserve"> Education Council (GEC)</w:t>
            </w:r>
          </w:p>
        </w:tc>
      </w:tr>
      <w:tr w:rsidR="00CA34AE" w:rsidTr="00CA34AE">
        <w:trPr>
          <w:trHeight w:val="4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26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E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Framing expected learning outcomes/graduate attributes for higher education qualifications leading to degree/diploma/certificates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LOCF based courses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Involving maximum number of teachers for syllabus revision.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syllabus should match the degree being awarded at the end of one/ two/ three/ four years. 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Courses to be redesigned to suit the new system.</w:t>
            </w:r>
          </w:p>
        </w:tc>
      </w:tr>
      <w:tr w:rsidR="00CA34AE" w:rsidTr="00CA34AE">
        <w:trPr>
          <w:trHeight w:val="35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E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Formulating National Higher Education Qualification Framework (NHEQF) in sync with National Skills Qualification Framework (NSQF) for integration of vocational education into higher education</w:t>
            </w:r>
          </w:p>
          <w:p w:rsidR="00CA34AE" w:rsidRDefault="00CA34AE">
            <w:pPr>
              <w:pStyle w:val="Body"/>
              <w:jc w:val="both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 xml:space="preserve">Vocational Education </w:t>
            </w:r>
            <w:proofErr w:type="spellStart"/>
            <w:r>
              <w:rPr>
                <w:rFonts w:ascii="Times New Roman" w:hAnsi="Times New Roman"/>
              </w:rPr>
              <w:t>vs</w:t>
            </w:r>
            <w:proofErr w:type="spellEnd"/>
            <w:r>
              <w:rPr>
                <w:rFonts w:ascii="Times New Roman" w:hAnsi="Times New Roman"/>
              </w:rPr>
              <w:t xml:space="preserve"> Higher Education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Maintaining standards of Higher Education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distinguish Vocational Education from Higher Education while giving the student the chance to make a shift.</w:t>
            </w:r>
          </w:p>
          <w:p w:rsidR="00CA34AE" w:rsidRDefault="00CA34A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think about new </w:t>
            </w:r>
            <w:proofErr w:type="spellStart"/>
            <w:r>
              <w:rPr>
                <w:rFonts w:ascii="Times New Roman" w:hAnsi="Times New Roman"/>
              </w:rPr>
              <w:t>centres</w:t>
            </w:r>
            <w:proofErr w:type="spellEnd"/>
            <w:r>
              <w:rPr>
                <w:rFonts w:ascii="Times New Roman" w:hAnsi="Times New Roman"/>
              </w:rPr>
              <w:t>/ institutions for skill development</w:t>
            </w:r>
          </w:p>
          <w:p w:rsidR="00CA34AE" w:rsidRDefault="00CA34A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shift to the Annual mode to give the student a chance to develop skills over a substantial period of time</w:t>
            </w:r>
          </w:p>
        </w:tc>
      </w:tr>
      <w:tr w:rsidR="00CA34AE" w:rsidTr="00365C2B">
        <w:trPr>
          <w:trHeight w:val="12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lastRenderedPageBreak/>
              <w:t>E 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Setting up facilitative norms for issues related to credit transfer, equivalence and others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To facilitate credit transfer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Facilitate credit transfers for University accredited courses </w:t>
            </w:r>
          </w:p>
        </w:tc>
      </w:tr>
      <w:tr w:rsidR="00CA34AE" w:rsidTr="00365C2B">
        <w:trPr>
          <w:trHeight w:val="3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E 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Re-structured role of professional councils: National Council of Teacher Education (NCTE)/Indian Council of Agriculture Research (ICAR)/National Council of Vocational Education and Training (NCVET) &amp; others as Professional Standards Setting Bodies (PSSB) under GEC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Re-</w:t>
            </w:r>
            <w:proofErr w:type="spellStart"/>
            <w:r>
              <w:rPr>
                <w:rFonts w:ascii="Times New Roman" w:hAnsi="Times New Roman"/>
              </w:rPr>
              <w:t>modelling</w:t>
            </w:r>
            <w:proofErr w:type="spellEnd"/>
            <w:r>
              <w:rPr>
                <w:rFonts w:ascii="Times New Roman" w:hAnsi="Times New Roman"/>
              </w:rPr>
              <w:t xml:space="preserve"> the courses offered by NCTE/ ICAR/ NCVET etc.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jc w:val="both"/>
            </w:pPr>
            <w:r>
              <w:rPr>
                <w:rFonts w:cs="Arial Unicode MS"/>
                <w:color w:val="000000"/>
                <w:u w:color="000000"/>
                <w:shd w:val="nil"/>
              </w:rPr>
              <w:t>Impact on existing Academic Staff Colleges (ASC)</w:t>
            </w:r>
          </w:p>
          <w:p w:rsidR="00CA34AE" w:rsidRDefault="00CA34AE">
            <w:pPr>
              <w:jc w:val="both"/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must be a connection between the requirements of the discipline in the new scenario and the courses offered by professional councils for Teacher Training. </w:t>
            </w:r>
          </w:p>
          <w:p w:rsidR="00434785" w:rsidRDefault="00434785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Increase in the number of professional councils for teacher training</w:t>
            </w:r>
          </w:p>
        </w:tc>
      </w:tr>
      <w:tr w:rsidR="00CA34AE" w:rsidTr="00365C2B">
        <w:trPr>
          <w:trHeight w:val="21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E 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PSSBs responsible for curriculum framework and setting up standards in their respective fields of learning under GEC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These bodies should work in collaboration with the teachers of Central Universities to evolve better yardsticks for syllabus development in Higher Education</w:t>
            </w:r>
          </w:p>
        </w:tc>
      </w:tr>
    </w:tbl>
    <w:p w:rsidR="00CA34AE" w:rsidRDefault="00CA34AE"/>
    <w:p w:rsidR="00CA34AE" w:rsidRDefault="00CA34AE">
      <w:r>
        <w:br w:type="page"/>
      </w:r>
    </w:p>
    <w:p w:rsidR="00CA34AE" w:rsidRDefault="00CA34AE"/>
    <w:tbl>
      <w:tblPr>
        <w:tblW w:w="1413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6"/>
        <w:gridCol w:w="4312"/>
        <w:gridCol w:w="2578"/>
        <w:gridCol w:w="2591"/>
        <w:gridCol w:w="3783"/>
      </w:tblGrid>
      <w:tr w:rsidR="00CA34AE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Pr="00CA34AE" w:rsidRDefault="00CA34AE">
            <w:pPr>
              <w:pStyle w:val="Body"/>
              <w:jc w:val="both"/>
              <w:rPr>
                <w:color w:val="000000" w:themeColor="text1"/>
              </w:rPr>
            </w:pPr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>Section F: HEIs as Independent Self –Governed Degree providing Institutes/Clusters</w:t>
            </w:r>
          </w:p>
        </w:tc>
      </w:tr>
      <w:tr w:rsidR="00CA34AE" w:rsidTr="00CA34AE">
        <w:trPr>
          <w:trHeight w:val="4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28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F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 xml:space="preserve">Adequate funding, legislative enablement and autonomy to HEIs aiming for highest level of accreditation by committing to institutional excellence and engagement with local communities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To define “adequate funding and legislative enablement”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jc w:val="both"/>
            </w:pPr>
            <w:r>
              <w:rPr>
                <w:rFonts w:cs="Arial Unicode MS"/>
                <w:color w:val="000000"/>
                <w:u w:color="000000"/>
                <w:shd w:val="nil"/>
              </w:rPr>
              <w:t>What will be the implications for HEIs without highest level of accreditation?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will be a new step. Hence the parameters of what constitutes a Se</w:t>
            </w:r>
            <w:r>
              <w:rPr>
                <w:rFonts w:ascii="Times New Roman" w:hAnsi="Times New Roman"/>
              </w:rPr>
              <w:t xml:space="preserve">lf-Governed Degree College </w:t>
            </w:r>
            <w:proofErr w:type="gramStart"/>
            <w:r>
              <w:rPr>
                <w:rFonts w:ascii="Times New Roman" w:hAnsi="Times New Roman"/>
              </w:rPr>
              <w:t xml:space="preserve">must </w:t>
            </w:r>
            <w:r>
              <w:rPr>
                <w:rFonts w:ascii="Times New Roman" w:hAnsi="Times New Roman"/>
              </w:rPr>
              <w:t>needs</w:t>
            </w:r>
            <w:proofErr w:type="gramEnd"/>
            <w:r>
              <w:rPr>
                <w:rFonts w:ascii="Times New Roman" w:hAnsi="Times New Roman"/>
              </w:rPr>
              <w:t xml:space="preserve"> be discussed at a wider level.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ensure basic minimum level funding for colleges irrespective of grade</w:t>
            </w:r>
          </w:p>
          <w:p w:rsidR="00CA34AE" w:rsidRDefault="00CA34AE" w:rsidP="00BF240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To ensure minimum equity in fund disbursement</w:t>
            </w:r>
          </w:p>
        </w:tc>
      </w:tr>
      <w:tr w:rsidR="00CA34AE" w:rsidTr="00CA34AE">
        <w:trPr>
          <w:trHeight w:val="34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F 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Setting up Board of Governance (</w:t>
            </w:r>
            <w:proofErr w:type="spellStart"/>
            <w:r>
              <w:rPr>
                <w:rFonts w:ascii="Times New Roman" w:hAnsi="Times New Roman"/>
              </w:rPr>
              <w:t>BoG</w:t>
            </w:r>
            <w:proofErr w:type="spellEnd"/>
            <w:r>
              <w:rPr>
                <w:rFonts w:ascii="Times New Roman" w:hAnsi="Times New Roman"/>
              </w:rPr>
              <w:t xml:space="preserve">) for independent self governing institutes, empowered to independently govern the institute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 xml:space="preserve">Implications of the </w:t>
            </w:r>
            <w:proofErr w:type="spellStart"/>
            <w:r>
              <w:rPr>
                <w:rFonts w:ascii="Times New Roman" w:hAnsi="Times New Roman"/>
              </w:rPr>
              <w:t>BoG</w:t>
            </w:r>
            <w:proofErr w:type="spellEnd"/>
            <w:r>
              <w:rPr>
                <w:rFonts w:ascii="Times New Roman" w:hAnsi="Times New Roman"/>
              </w:rPr>
              <w:t xml:space="preserve"> for the different colleges.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Stating powers of the </w:t>
            </w:r>
            <w:proofErr w:type="spellStart"/>
            <w:r>
              <w:rPr>
                <w:rFonts w:ascii="Times New Roman" w:hAnsi="Times New Roman"/>
              </w:rPr>
              <w:t>BoG</w:t>
            </w:r>
            <w:proofErr w:type="spellEnd"/>
            <w:r>
              <w:rPr>
                <w:rFonts w:ascii="Times New Roman" w:hAnsi="Times New Roman"/>
              </w:rPr>
              <w:t xml:space="preserve"> to evolve an ethical system of operation. </w:t>
            </w:r>
          </w:p>
          <w:p w:rsidR="00CA34AE" w:rsidRDefault="00CA34A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De-</w:t>
            </w:r>
            <w:proofErr w:type="spellStart"/>
            <w:r>
              <w:rPr>
                <w:rFonts w:ascii="Times New Roman" w:hAnsi="Times New Roman"/>
              </w:rPr>
              <w:t>centralisation</w:t>
            </w:r>
            <w:proofErr w:type="spellEnd"/>
            <w:r>
              <w:rPr>
                <w:rFonts w:ascii="Times New Roman" w:hAnsi="Times New Roman"/>
              </w:rPr>
              <w:t xml:space="preserve"> of power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HEIs be given a chance to improve their performance by proper funding.</w:t>
            </w:r>
          </w:p>
          <w:p w:rsidR="00CA34AE" w:rsidRDefault="00CA34A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Composition of the </w:t>
            </w:r>
            <w:proofErr w:type="spellStart"/>
            <w:r>
              <w:rPr>
                <w:rFonts w:ascii="Times New Roman" w:hAnsi="Times New Roman"/>
              </w:rPr>
              <w:t>BoG</w:t>
            </w:r>
            <w:proofErr w:type="spellEnd"/>
            <w:r>
              <w:rPr>
                <w:rFonts w:ascii="Times New Roman" w:hAnsi="Times New Roman"/>
              </w:rPr>
              <w:t xml:space="preserve"> should have wider representation including teachers of the concerned HEI and academicians from civil society </w:t>
            </w:r>
          </w:p>
          <w:p w:rsidR="00CA34AE" w:rsidRDefault="00CA34A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level uniformity in working conditions and salary structures</w:t>
            </w:r>
          </w:p>
        </w:tc>
      </w:tr>
      <w:tr w:rsidR="00CA34AE" w:rsidTr="00CA34AE">
        <w:trPr>
          <w:trHeight w:val="29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lastRenderedPageBreak/>
              <w:t>F 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Central and state support to high performing HEIs to expand the reach by attaining more students/faculty and by adding more disciplines/programs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</w:pPr>
            <w:r>
              <w:rPr>
                <w:rFonts w:ascii="Times New Roman" w:hAnsi="Times New Roman"/>
              </w:rPr>
              <w:t>While there will be a thrust on expanding high performing HEIs, a basic level of parity to address the concerns of the average performing HEIs should be there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High performing HEIs should look at the following:</w:t>
            </w:r>
          </w:p>
          <w:p w:rsidR="00CA34AE" w:rsidRDefault="00CA34A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Offering existing courses in new form</w:t>
            </w:r>
          </w:p>
          <w:p w:rsidR="00CA34AE" w:rsidRDefault="00CA34A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Adding more courses</w:t>
            </w:r>
          </w:p>
          <w:p w:rsidR="00CA34AE" w:rsidRDefault="00CA34A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also tie up with other HEIs in the same bracket. </w:t>
            </w:r>
          </w:p>
          <w:p w:rsidR="00CA34AE" w:rsidRDefault="00CA34A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of  collaboration with another HEI with an average grade</w:t>
            </w:r>
          </w:p>
        </w:tc>
      </w:tr>
      <w:tr w:rsidR="00CA34AE" w:rsidTr="00365C2B">
        <w:trPr>
          <w:trHeight w:val="356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Pr="00CA34AE" w:rsidRDefault="00CA34AE">
            <w:pPr>
              <w:pStyle w:val="Body"/>
              <w:jc w:val="both"/>
              <w:rPr>
                <w:color w:val="000000" w:themeColor="text1"/>
              </w:rPr>
            </w:pPr>
            <w:r w:rsidRPr="00CA34AE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color="FFFFFF"/>
              </w:rPr>
              <w:t>Section G: Any other</w:t>
            </w:r>
          </w:p>
        </w:tc>
      </w:tr>
      <w:tr w:rsidR="00CA34AE" w:rsidTr="00CA34AE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Role and Objectives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Implications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Concerns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Suggestions</w:t>
            </w:r>
          </w:p>
        </w:tc>
      </w:tr>
      <w:tr w:rsidR="00CA34AE" w:rsidTr="00CA34AE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4AE" w:rsidRDefault="00CA34AE" w:rsidP="00BF240B">
            <w:pPr>
              <w:pStyle w:val="Body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C840F1" w:rsidRDefault="00C840F1">
      <w:pPr>
        <w:pStyle w:val="Body"/>
        <w:widowControl w:val="0"/>
        <w:rPr>
          <w:sz w:val="32"/>
          <w:szCs w:val="32"/>
        </w:rPr>
      </w:pPr>
    </w:p>
    <w:p w:rsidR="00C840F1" w:rsidRDefault="00C840F1">
      <w:pPr>
        <w:pStyle w:val="Body"/>
        <w:rPr>
          <w:sz w:val="44"/>
          <w:szCs w:val="44"/>
        </w:rPr>
      </w:pPr>
    </w:p>
    <w:p w:rsidR="00C840F1" w:rsidRDefault="00C840F1">
      <w:pPr>
        <w:pStyle w:val="Body"/>
        <w:rPr>
          <w:sz w:val="44"/>
          <w:szCs w:val="44"/>
        </w:rPr>
      </w:pPr>
    </w:p>
    <w:p w:rsidR="00C840F1" w:rsidRDefault="004F33AC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Signature with Name and Date: ___________________________________________</w:t>
      </w:r>
    </w:p>
    <w:p w:rsidR="00C840F1" w:rsidRDefault="004F33AC">
      <w:pPr>
        <w:pStyle w:val="Body"/>
      </w:pPr>
      <w:r>
        <w:rPr>
          <w:rFonts w:ascii="Times New Roman" w:hAnsi="Times New Roman"/>
          <w:sz w:val="32"/>
          <w:szCs w:val="32"/>
          <w:lang w:val="nl-NL"/>
        </w:rPr>
        <w:t>(Cluster Coordinator)</w:t>
      </w:r>
    </w:p>
    <w:sectPr w:rsidR="00C840F1" w:rsidSect="00365C2B">
      <w:headerReference w:type="default" r:id="rId7"/>
      <w:footerReference w:type="default" r:id="rId8"/>
      <w:pgSz w:w="15840" w:h="12240" w:orient="landscape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AC" w:rsidRDefault="004F33AC" w:rsidP="00C840F1">
      <w:r>
        <w:separator/>
      </w:r>
    </w:p>
  </w:endnote>
  <w:endnote w:type="continuationSeparator" w:id="0">
    <w:p w:rsidR="004F33AC" w:rsidRDefault="004F33AC" w:rsidP="00C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F1" w:rsidRDefault="00C840F1">
    <w:pPr>
      <w:pStyle w:val="Footer"/>
      <w:jc w:val="center"/>
    </w:pPr>
    <w:r>
      <w:fldChar w:fldCharType="begin"/>
    </w:r>
    <w:r w:rsidR="004F33AC">
      <w:instrText xml:space="preserve"> PAGE </w:instrText>
    </w:r>
    <w:r w:rsidR="00365C2B">
      <w:fldChar w:fldCharType="separate"/>
    </w:r>
    <w:r w:rsidR="00434785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AC" w:rsidRDefault="004F33AC" w:rsidP="00C840F1">
      <w:r>
        <w:separator/>
      </w:r>
    </w:p>
  </w:footnote>
  <w:footnote w:type="continuationSeparator" w:id="0">
    <w:p w:rsidR="004F33AC" w:rsidRDefault="004F33AC" w:rsidP="00C8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F1" w:rsidRDefault="004F33AC">
    <w:pPr>
      <w:pStyle w:val="Body"/>
      <w:jc w:val="center"/>
      <w:rPr>
        <w:sz w:val="44"/>
        <w:szCs w:val="44"/>
      </w:rPr>
    </w:pPr>
    <w:r>
      <w:tab/>
    </w:r>
    <w:r>
      <w:rPr>
        <w:sz w:val="44"/>
        <w:szCs w:val="44"/>
      </w:rPr>
      <w:t>Observations and suggestions on the proposed</w:t>
    </w:r>
  </w:p>
  <w:p w:rsidR="00C840F1" w:rsidRDefault="004F33AC">
    <w:pPr>
      <w:pStyle w:val="Body"/>
      <w:jc w:val="center"/>
      <w:rPr>
        <w:sz w:val="44"/>
        <w:szCs w:val="44"/>
      </w:rPr>
    </w:pPr>
    <w:r>
      <w:rPr>
        <w:b/>
        <w:bCs/>
        <w:sz w:val="44"/>
        <w:szCs w:val="44"/>
      </w:rPr>
      <w:t xml:space="preserve">Higher Education </w:t>
    </w:r>
    <w:r>
      <w:rPr>
        <w:b/>
        <w:bCs/>
        <w:sz w:val="44"/>
        <w:szCs w:val="44"/>
      </w:rPr>
      <w:t>Commission of India</w:t>
    </w:r>
    <w:r>
      <w:rPr>
        <w:sz w:val="44"/>
        <w:szCs w:val="44"/>
      </w:rPr>
      <w:t xml:space="preserve"> under NEP 2020</w:t>
    </w:r>
  </w:p>
  <w:p w:rsidR="00C840F1" w:rsidRDefault="004F33AC">
    <w:pPr>
      <w:pStyle w:val="Header"/>
      <w:spacing w:line="276" w:lineRule="auto"/>
      <w:rPr>
        <w:b/>
        <w:bCs/>
        <w:color w:val="4F81BD"/>
        <w:u w:color="4F81BD"/>
      </w:rPr>
    </w:pPr>
    <w:r>
      <w:rPr>
        <w:b/>
        <w:bCs/>
        <w:color w:val="4F81BD"/>
        <w:u w:color="4F81BD"/>
      </w:rPr>
      <w:tab/>
    </w:r>
  </w:p>
  <w:p w:rsidR="00C840F1" w:rsidRDefault="004F33AC">
    <w:pPr>
      <w:pStyle w:val="Header"/>
      <w:spacing w:line="276" w:lineRule="auto"/>
    </w:pPr>
    <w:r>
      <w:rPr>
        <w:b/>
        <w:bCs/>
        <w:color w:val="4F81BD"/>
        <w:u w:color="4F81BD"/>
      </w:rPr>
      <w:tab/>
    </w:r>
    <w:r>
      <w:rPr>
        <w:b/>
        <w:bCs/>
        <w:color w:val="4F81BD"/>
        <w:u w:color="4F81B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D7"/>
    <w:multiLevelType w:val="hybridMultilevel"/>
    <w:tmpl w:val="118A29E4"/>
    <w:lvl w:ilvl="0" w:tplc="54A810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CCB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049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8FE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AA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0B39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63F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665C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04E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C74DAC"/>
    <w:multiLevelType w:val="hybridMultilevel"/>
    <w:tmpl w:val="B79A1B64"/>
    <w:lvl w:ilvl="0" w:tplc="4B86C2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0F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E49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8BE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A4B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0078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4A05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E24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ECE6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1A1AC1"/>
    <w:multiLevelType w:val="hybridMultilevel"/>
    <w:tmpl w:val="1F80D650"/>
    <w:lvl w:ilvl="0" w:tplc="4FAE5D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413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A735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63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412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0B4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856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4086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095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1BA04F0"/>
    <w:multiLevelType w:val="hybridMultilevel"/>
    <w:tmpl w:val="1F346C26"/>
    <w:lvl w:ilvl="0" w:tplc="8D4AB60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D2838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88C47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9C859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0DDC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A54E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C9FB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56F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6CB9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C60960"/>
    <w:multiLevelType w:val="hybridMultilevel"/>
    <w:tmpl w:val="BD96C9CC"/>
    <w:lvl w:ilvl="0" w:tplc="2A4857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06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0D04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8E0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24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61F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36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C6C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C816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DCD3BBD"/>
    <w:multiLevelType w:val="hybridMultilevel"/>
    <w:tmpl w:val="F6E8B694"/>
    <w:lvl w:ilvl="0" w:tplc="E47E643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0A8D3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A54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2178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6563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27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2CBD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AFB1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07E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A201C8A"/>
    <w:multiLevelType w:val="hybridMultilevel"/>
    <w:tmpl w:val="FCCA811A"/>
    <w:lvl w:ilvl="0" w:tplc="607E54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6A2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4AB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667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C00F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6EF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D823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EF4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20B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E00C28"/>
    <w:multiLevelType w:val="hybridMultilevel"/>
    <w:tmpl w:val="D744E878"/>
    <w:lvl w:ilvl="0" w:tplc="EC6ECC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2DF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0404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0CA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2BE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60A1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453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EE3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11D445D"/>
    <w:multiLevelType w:val="hybridMultilevel"/>
    <w:tmpl w:val="B0D8DC4E"/>
    <w:lvl w:ilvl="0" w:tplc="584A9F1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0244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AC66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210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0794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66E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C56C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9EC50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69B1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1F52187"/>
    <w:multiLevelType w:val="hybridMultilevel"/>
    <w:tmpl w:val="CA42D332"/>
    <w:lvl w:ilvl="0" w:tplc="D6981C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692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EFDC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A5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05C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AE85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A4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219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50ED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826102D"/>
    <w:multiLevelType w:val="hybridMultilevel"/>
    <w:tmpl w:val="BCD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170"/>
    <w:multiLevelType w:val="hybridMultilevel"/>
    <w:tmpl w:val="3EA82260"/>
    <w:lvl w:ilvl="0" w:tplc="47F284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A65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08BF2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CED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437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0F1D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31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A25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2FA8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E9E51F7"/>
    <w:multiLevelType w:val="hybridMultilevel"/>
    <w:tmpl w:val="8B548B78"/>
    <w:lvl w:ilvl="0" w:tplc="10CE29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80A4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B5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E96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4B8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246C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688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EB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E2028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08411FD"/>
    <w:multiLevelType w:val="hybridMultilevel"/>
    <w:tmpl w:val="932211F8"/>
    <w:lvl w:ilvl="0" w:tplc="9DD69D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DA25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8A9D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EF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CF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6D6E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828F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0C2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4367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B834AD"/>
    <w:multiLevelType w:val="hybridMultilevel"/>
    <w:tmpl w:val="FAB46A74"/>
    <w:lvl w:ilvl="0" w:tplc="7A7C6F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4E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E4C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748C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99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C1A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0F7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C93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4235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6575CD7"/>
    <w:multiLevelType w:val="hybridMultilevel"/>
    <w:tmpl w:val="D744E878"/>
    <w:lvl w:ilvl="0" w:tplc="EC6ECC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2DF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0404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0CA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2BE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60A1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453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EE3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97E559E"/>
    <w:multiLevelType w:val="hybridMultilevel"/>
    <w:tmpl w:val="B79A1B64"/>
    <w:lvl w:ilvl="0" w:tplc="4B86C2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0F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E49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8BE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A4B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0078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4A05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E24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ECE6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3030877"/>
    <w:multiLevelType w:val="hybridMultilevel"/>
    <w:tmpl w:val="E894F89E"/>
    <w:lvl w:ilvl="0" w:tplc="6E90E4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03E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B86A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010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0AA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A8F9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0E5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2FB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880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9C307AE"/>
    <w:multiLevelType w:val="hybridMultilevel"/>
    <w:tmpl w:val="9FE492B0"/>
    <w:lvl w:ilvl="0" w:tplc="013240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E665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0B4F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69B1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EEDDB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230E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E8D8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6E2C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0200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5"/>
  </w:num>
  <w:num w:numId="5">
    <w:abstractNumId w:val="15"/>
    <w:lvlOverride w:ilvl="0">
      <w:startOverride w:val="3"/>
    </w:lvlOverride>
  </w:num>
  <w:num w:numId="6">
    <w:abstractNumId w:val="2"/>
  </w:num>
  <w:num w:numId="7">
    <w:abstractNumId w:val="16"/>
  </w:num>
  <w:num w:numId="8">
    <w:abstractNumId w:val="16"/>
    <w:lvlOverride w:ilvl="0">
      <w:startOverride w:val="3"/>
    </w:lvlOverride>
  </w:num>
  <w:num w:numId="9">
    <w:abstractNumId w:val="3"/>
  </w:num>
  <w:num w:numId="10">
    <w:abstractNumId w:val="17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  <w:num w:numId="18">
    <w:abstractNumId w:val="9"/>
  </w:num>
  <w:num w:numId="19">
    <w:abstractNumId w:val="7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F1"/>
    <w:rsid w:val="00365C2B"/>
    <w:rsid w:val="00434785"/>
    <w:rsid w:val="004F33AC"/>
    <w:rsid w:val="00C840F1"/>
    <w:rsid w:val="00CA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0F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0F1"/>
    <w:rPr>
      <w:u w:val="single"/>
    </w:rPr>
  </w:style>
  <w:style w:type="paragraph" w:customStyle="1" w:styleId="Body">
    <w:name w:val="Body"/>
    <w:rsid w:val="00C840F1"/>
    <w:rPr>
      <w:rFonts w:ascii="Cambria" w:hAnsi="Cambria" w:cs="Arial Unicode MS"/>
      <w:color w:val="000000"/>
      <w:sz w:val="24"/>
      <w:szCs w:val="24"/>
      <w:u w:color="000000"/>
      <w:shd w:val="nil"/>
    </w:rPr>
  </w:style>
  <w:style w:type="paragraph" w:styleId="Header">
    <w:name w:val="header"/>
    <w:rsid w:val="00C840F1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shd w:val="nil"/>
    </w:rPr>
  </w:style>
  <w:style w:type="paragraph" w:styleId="Footer">
    <w:name w:val="footer"/>
    <w:rsid w:val="00C840F1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shd w:val="nil"/>
    </w:rPr>
  </w:style>
  <w:style w:type="paragraph" w:styleId="ListParagraph">
    <w:name w:val="List Paragraph"/>
    <w:rsid w:val="00C840F1"/>
    <w:pPr>
      <w:ind w:left="720"/>
    </w:pPr>
    <w:rPr>
      <w:rFonts w:ascii="Cambria" w:hAnsi="Cambria"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2021-03-27T09:28:00Z</dcterms:created>
  <dcterms:modified xsi:type="dcterms:W3CDTF">2021-03-27T09:50:00Z</dcterms:modified>
</cp:coreProperties>
</file>